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b w:val="1"/>
          <w:sz w:val="20"/>
          <w:highlight w:val="none"/>
          <w:rtl w:val="0"/>
        </w:rPr>
        <w:t xml:space="preserve">The Painleve paradoxes appear when considering this phenomenon for rigid bodies.  Along with gravity and particle shape, the angle of repose of granular materials depends on the arctangent of this value in a situation to that of a block on an inclined plane.  Common approximations for this phenomenon state that it is independent of </w:t>
      </w:r>
      <w:r w:rsidDel="00000000" w:rsidR="00000000" w:rsidRPr="00000000">
        <w:rPr>
          <w:rFonts w:eastAsia="Times New Roman" w:ascii="Times New Roman" w:hAnsi="Times New Roman" w:cs="Times New Roman"/>
          <w:sz w:val="20"/>
          <w:highlight w:val="none"/>
          <w:rtl w:val="0"/>
        </w:rPr>
        <w:t xml:space="preserve">contact area and relative velocity, so a simple equation for this force sets it equal to mu times the normal force, and that coefficient may be static or kinetic.  For 10 points, name this force that opposes motions.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Friction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0"/>
          <w:highlight w:val="none"/>
          <w:rtl w:val="0"/>
        </w:rPr>
        <w:t xml:space="preserve">This figure was said to be conceived after this figure's parents kissed at the Golden Gate in a rejected story and one prayer devoted to the consecration of this figure was composed by Maximilian Kolbe. This figure is often called the first disciple and when this figure died, the rest of the disciples were miraculously transported to this figure's death bed and witnessed her not dying, but going straight to heaven, called the</w:t>
      </w:r>
      <w:r w:rsidDel="00000000" w:rsidR="00000000" w:rsidRPr="00000000">
        <w:rPr>
          <w:rFonts w:eastAsia="Times New Roman" w:ascii="Times New Roman" w:hAnsi="Times New Roman" w:cs="Times New Roman"/>
          <w:sz w:val="20"/>
          <w:highlight w:val="none"/>
          <w:rtl w:val="0"/>
        </w:rPr>
        <w:t xml:space="preserve"> Assumption. This figure was the child of Joachim and Anne and her cousin Elizabeth gave birth to John the Baptist. She had the power to intercede on behalf of sinners and the decades of the rosary are a prayer to her. For ten points, name this virgin mother of Jesus Christ.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Mary</w:t>
      </w:r>
      <w:r w:rsidDel="00000000" w:rsidR="00000000" w:rsidRPr="00000000">
        <w:rPr>
          <w:rFonts w:eastAsia="Times New Roman" w:ascii="Times New Roman" w:hAnsi="Times New Roman" w:cs="Times New Roman"/>
          <w:sz w:val="20"/>
          <w:highlight w:val="none"/>
          <w:rtl w:val="0"/>
        </w:rPr>
        <w:t xml:space="preserve"> [accept reasonable equivalents]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0"/>
          <w:highlight w:val="none"/>
          <w:rtl w:val="0"/>
        </w:rPr>
        <w:t xml:space="preserve">The protagonist of this show was said to have come up with the idea of the </w:t>
      </w:r>
      <w:r w:rsidDel="00000000" w:rsidR="00000000" w:rsidRPr="00000000">
        <w:rPr>
          <w:rFonts w:eastAsia="Times New Roman" w:ascii="Times New Roman" w:hAnsi="Times New Roman" w:cs="Times New Roman"/>
          <w:b w:val="1"/>
          <w:i w:val="1"/>
          <w:sz w:val="20"/>
          <w:highlight w:val="none"/>
          <w:rtl w:val="0"/>
        </w:rPr>
        <w:t xml:space="preserve">Christ the Redeemer</w:t>
      </w:r>
      <w:r w:rsidDel="00000000" w:rsidR="00000000" w:rsidRPr="00000000">
        <w:rPr>
          <w:rFonts w:eastAsia="Times New Roman" w:ascii="Times New Roman" w:hAnsi="Times New Roman" w:cs="Times New Roman"/>
          <w:b w:val="1"/>
          <w:sz w:val="20"/>
          <w:highlight w:val="none"/>
          <w:rtl w:val="0"/>
        </w:rPr>
        <w:t xml:space="preserve"> statue. The nom-de-plume of one character in this show was Ben Hargrove, although that character was first published under his real name in the </w:t>
      </w:r>
      <w:r w:rsidDel="00000000" w:rsidR="00000000" w:rsidRPr="00000000">
        <w:rPr>
          <w:rFonts w:eastAsia="Times New Roman" w:ascii="Times New Roman" w:hAnsi="Times New Roman" w:cs="Times New Roman"/>
          <w:b w:val="1"/>
          <w:i w:val="1"/>
          <w:sz w:val="20"/>
          <w:highlight w:val="none"/>
          <w:rtl w:val="0"/>
        </w:rPr>
        <w:t xml:space="preserve">Atlantic Monthly</w:t>
      </w:r>
      <w:r w:rsidDel="00000000" w:rsidR="00000000" w:rsidRPr="00000000">
        <w:rPr>
          <w:rFonts w:eastAsia="Times New Roman" w:ascii="Times New Roman" w:hAnsi="Times New Roman" w:cs="Times New Roman"/>
          <w:b w:val="1"/>
          <w:sz w:val="20"/>
          <w:highlight w:val="none"/>
          <w:rtl w:val="0"/>
        </w:rPr>
        <w:t xml:space="preserve">. That character briefly worked for another character who began drinking again when engaging for his company to be bought out by Putnam Powell and Lowe.</w:t>
      </w:r>
      <w:r w:rsidDel="00000000" w:rsidR="00000000" w:rsidRPr="00000000">
        <w:rPr>
          <w:rFonts w:eastAsia="Times New Roman" w:ascii="Times New Roman" w:hAnsi="Times New Roman" w:cs="Times New Roman"/>
          <w:sz w:val="20"/>
          <w:highlight w:val="none"/>
          <w:rtl w:val="0"/>
        </w:rPr>
        <w:t xml:space="preserve"> Duck Phillips was ousted by that company and replaced with Lane Pryce who later became a junior partner at a new firm along with Peter Campbell. For ten points, name this AMC show about the advertising business, in which Jon Hamm portrays Don Draper.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Mad Men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0"/>
          <w:highlight w:val="none"/>
          <w:rtl w:val="0"/>
        </w:rPr>
        <w:t xml:space="preserve">Tom and Maggie Tulliver perform this action together at the end of </w:t>
      </w:r>
      <w:r w:rsidDel="00000000" w:rsidR="00000000" w:rsidRPr="00000000">
        <w:rPr>
          <w:rFonts w:eastAsia="Times New Roman" w:ascii="Times New Roman" w:hAnsi="Times New Roman" w:cs="Times New Roman"/>
          <w:b w:val="1"/>
          <w:i w:val="1"/>
          <w:sz w:val="20"/>
          <w:highlight w:val="none"/>
          <w:rtl w:val="0"/>
        </w:rPr>
        <w:t xml:space="preserve">The Mill on the Floss</w:t>
      </w:r>
      <w:r w:rsidDel="00000000" w:rsidR="00000000" w:rsidRPr="00000000">
        <w:rPr>
          <w:rFonts w:eastAsia="Times New Roman" w:ascii="Times New Roman" w:hAnsi="Times New Roman" w:cs="Times New Roman"/>
          <w:b w:val="1"/>
          <w:sz w:val="20"/>
          <w:highlight w:val="none"/>
          <w:rtl w:val="0"/>
        </w:rPr>
        <w:t xml:space="preserve">.  After mistakenly believing she has typhus, Helen Burns performs this action anyway in </w:t>
      </w:r>
      <w:r w:rsidDel="00000000" w:rsidR="00000000" w:rsidRPr="00000000">
        <w:rPr>
          <w:rFonts w:eastAsia="Times New Roman" w:ascii="Times New Roman" w:hAnsi="Times New Roman" w:cs="Times New Roman"/>
          <w:b w:val="1"/>
          <w:i w:val="1"/>
          <w:sz w:val="20"/>
          <w:highlight w:val="none"/>
          <w:rtl w:val="0"/>
        </w:rPr>
        <w:t xml:space="preserve">Jane Eyre</w:t>
      </w:r>
      <w:r w:rsidDel="00000000" w:rsidR="00000000" w:rsidRPr="00000000">
        <w:rPr>
          <w:rFonts w:eastAsia="Times New Roman" w:ascii="Times New Roman" w:hAnsi="Times New Roman" w:cs="Times New Roman"/>
          <w:b w:val="1"/>
          <w:sz w:val="20"/>
          <w:highlight w:val="none"/>
          <w:rtl w:val="0"/>
        </w:rPr>
        <w:t xml:space="preserve">.  In </w:t>
      </w:r>
      <w:r w:rsidDel="00000000" w:rsidR="00000000" w:rsidRPr="00000000">
        <w:rPr>
          <w:rFonts w:eastAsia="Times New Roman" w:ascii="Times New Roman" w:hAnsi="Times New Roman" w:cs="Times New Roman"/>
          <w:b w:val="1"/>
          <w:i w:val="1"/>
          <w:sz w:val="20"/>
          <w:highlight w:val="none"/>
          <w:rtl w:val="0"/>
        </w:rPr>
        <w:t xml:space="preserve">The House of Bernarda Alba</w:t>
      </w:r>
      <w:r w:rsidDel="00000000" w:rsidR="00000000" w:rsidRPr="00000000">
        <w:rPr>
          <w:rFonts w:eastAsia="Times New Roman" w:ascii="Times New Roman" w:hAnsi="Times New Roman" w:cs="Times New Roman"/>
          <w:b w:val="1"/>
          <w:sz w:val="20"/>
          <w:highlight w:val="none"/>
          <w:rtl w:val="0"/>
        </w:rPr>
        <w:t xml:space="preserve">, Adela performs this action after Pepe escapes.  In one play, Garcin, Inez, and Estelle discover they have all performed this action. </w:t>
      </w:r>
      <w:r w:rsidDel="00000000" w:rsidR="00000000" w:rsidRPr="00000000">
        <w:rPr>
          <w:rFonts w:eastAsia="Times New Roman" w:ascii="Times New Roman" w:hAnsi="Times New Roman" w:cs="Times New Roman"/>
          <w:sz w:val="20"/>
          <w:highlight w:val="none"/>
          <w:rtl w:val="0"/>
        </w:rPr>
        <w:t xml:space="preserve"> Gustav von Aschenbach performs this action after Tadzio beckons toward him at the end of the novella he appears in, which it titled for this action "In Venice."  For 10 points, name this action which which Hamlet performs after he is stabbed by a poisoned blade.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Death</w:t>
      </w:r>
      <w:r w:rsidDel="00000000" w:rsidR="00000000" w:rsidRPr="00000000">
        <w:rPr>
          <w:rFonts w:eastAsia="Times New Roman" w:ascii="Times New Roman" w:hAnsi="Times New Roman" w:cs="Times New Roman"/>
          <w:sz w:val="20"/>
          <w:highlight w:val="none"/>
          <w:rtl w:val="0"/>
        </w:rPr>
        <w:t xml:space="preserve"> [accept synonyms like </w:t>
      </w:r>
      <w:r w:rsidDel="00000000" w:rsidR="00000000" w:rsidRPr="00000000">
        <w:rPr>
          <w:rFonts w:eastAsia="Times New Roman" w:ascii="Times New Roman" w:hAnsi="Times New Roman" w:cs="Times New Roman"/>
          <w:b w:val="1"/>
          <w:sz w:val="20"/>
          <w:highlight w:val="none"/>
          <w:u w:val="single"/>
          <w:rtl w:val="0"/>
        </w:rPr>
        <w:t xml:space="preserve">Dying</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0"/>
          <w:highlight w:val="none"/>
          <w:rtl w:val="0"/>
        </w:rPr>
        <w:t xml:space="preserve">The son of a man who is robbed of his ability to perform miracles is the only one to sit at a seat for a finder of this item. While some later stories make him one of a group who can accomplish this task, earlier stories suggest another man. This item is kept by a man who is stuck upon his</w:t>
      </w:r>
      <w:r w:rsidDel="00000000" w:rsidR="00000000" w:rsidRPr="00000000">
        <w:rPr>
          <w:rFonts w:eastAsia="Times New Roman" w:ascii="Times New Roman" w:hAnsi="Times New Roman" w:cs="Times New Roman"/>
          <w:sz w:val="20"/>
          <w:highlight w:val="none"/>
          <w:rtl w:val="0"/>
        </w:rPr>
        <w:t xml:space="preserve"> throne.That ruler is paralyzed due to an injury to his legs and he sees his kingdom become a barren wasteland with nothing left to do his eponymous activity in the castle Corbenic. That man is known as the Fisher King who is visited by Sir Percival. The subject of a quest of some knights of the round table is, for ten points, this goblet that Jesus used in the Last Supper which is found by Sir Galahad.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Holy Grail</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0"/>
          <w:highlight w:val="none"/>
          <w:rtl w:val="0"/>
        </w:rPr>
        <w:t xml:space="preserve">Two flutes, separated by this interval, play together throughout the second movement of Bartók's </w:t>
      </w:r>
      <w:r w:rsidDel="00000000" w:rsidR="00000000" w:rsidRPr="00000000">
        <w:rPr>
          <w:rFonts w:eastAsia="Times New Roman" w:ascii="Times New Roman" w:hAnsi="Times New Roman" w:cs="Times New Roman"/>
          <w:b w:val="1"/>
          <w:i w:val="1"/>
          <w:sz w:val="20"/>
          <w:highlight w:val="none"/>
          <w:rtl w:val="0"/>
        </w:rPr>
        <w:t xml:space="preserve">Concerto for Orchestra</w:t>
      </w:r>
      <w:r w:rsidDel="00000000" w:rsidR="00000000" w:rsidRPr="00000000">
        <w:rPr>
          <w:rFonts w:eastAsia="Times New Roman" w:ascii="Times New Roman" w:hAnsi="Times New Roman" w:cs="Times New Roman"/>
          <w:b w:val="1"/>
          <w:sz w:val="20"/>
          <w:highlight w:val="none"/>
          <w:rtl w:val="0"/>
        </w:rPr>
        <w:t xml:space="preserve">. In a perfect authentic cadence, the bass voice descends by this interval to the final chord. This interval separates the first two notes of the Nature motif that opens the “Sunrise” section of </w:t>
      </w:r>
      <w:r w:rsidDel="00000000" w:rsidR="00000000" w:rsidRPr="00000000">
        <w:rPr>
          <w:rFonts w:eastAsia="Times New Roman" w:ascii="Times New Roman" w:hAnsi="Times New Roman" w:cs="Times New Roman"/>
          <w:b w:val="1"/>
          <w:i w:val="1"/>
          <w:sz w:val="20"/>
          <w:highlight w:val="none"/>
          <w:rtl w:val="0"/>
        </w:rPr>
        <w:t xml:space="preserve">Also Sprach Zarathustra</w:t>
      </w:r>
      <w:r w:rsidDel="00000000" w:rsidR="00000000" w:rsidRPr="00000000">
        <w:rPr>
          <w:rFonts w:eastAsia="Times New Roman" w:ascii="Times New Roman" w:hAnsi="Times New Roman" w:cs="Times New Roman"/>
          <w:b w:val="1"/>
          <w:sz w:val="20"/>
          <w:highlight w:val="none"/>
          <w:rtl w:val="0"/>
        </w:rPr>
        <w:t xml:space="preserve">. A major key that is this interval above another major key will have either one less flat or one more sharp than it, thus continuously ascending by this interval produces the</w:t>
      </w:r>
      <w:r w:rsidDel="00000000" w:rsidR="00000000" w:rsidRPr="00000000">
        <w:rPr>
          <w:rFonts w:eastAsia="Times New Roman" w:ascii="Times New Roman" w:hAnsi="Times New Roman" w:cs="Times New Roman"/>
          <w:sz w:val="20"/>
          <w:highlight w:val="none"/>
          <w:rtl w:val="0"/>
        </w:rPr>
        <w:t xml:space="preserve"> “circle of” this interval. The strings of a violin are tuned apart by this interval, the ratio of the first and second overtones. This is the interval between the tonic and dominant, and the inversion of this interval is the perfect fourth. For ten points, name this interval between the notes C and G.</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perfect </w:t>
      </w:r>
      <w:r w:rsidDel="00000000" w:rsidR="00000000" w:rsidRPr="00000000">
        <w:rPr>
          <w:rFonts w:eastAsia="Times New Roman" w:ascii="Times New Roman" w:hAnsi="Times New Roman" w:cs="Times New Roman"/>
          <w:b w:val="1"/>
          <w:sz w:val="20"/>
          <w:highlight w:val="none"/>
          <w:u w:val="single"/>
          <w:rtl w:val="0"/>
        </w:rPr>
        <w:t xml:space="preserve">fifth</w:t>
      </w:r>
      <w:r w:rsidDel="00000000" w:rsidR="00000000" w:rsidRPr="00000000">
        <w:rPr>
          <w:rFonts w:eastAsia="Times New Roman" w:ascii="Times New Roman" w:hAnsi="Times New Roman" w:cs="Times New Roman"/>
          <w:sz w:val="20"/>
          <w:highlight w:val="none"/>
          <w:rtl w:val="0"/>
        </w:rPr>
        <w:t xml:space="preserve"> (do not accept diminished fifth or augmented fifth)</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Alfred Lloyd Tennyson wrote a work in this genre called </w:t>
      </w:r>
      <w:r w:rsidDel="00000000" w:rsidR="00000000" w:rsidRPr="00000000">
        <w:rPr>
          <w:rFonts w:eastAsia="Times New Roman" w:ascii="Times New Roman" w:hAnsi="Times New Roman" w:cs="Times New Roman"/>
          <w:i w:val="1"/>
          <w:sz w:val="20"/>
          <w:highlight w:val="none"/>
          <w:rtl w:val="0"/>
        </w:rPr>
        <w:t xml:space="preserve">Idylls of the King</w:t>
      </w:r>
      <w:r w:rsidDel="00000000" w:rsidR="00000000" w:rsidRPr="00000000">
        <w:rPr>
          <w:rFonts w:eastAsia="Times New Roman" w:ascii="Times New Roman" w:hAnsi="Times New Roman" w:cs="Times New Roman"/>
          <w:sz w:val="20"/>
          <w:highlight w:val="none"/>
          <w:rtl w:val="0"/>
        </w:rPr>
        <w:t xml:space="preserv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genre which includes Lord Byron's </w:t>
      </w:r>
      <w:r w:rsidDel="00000000" w:rsidR="00000000" w:rsidRPr="00000000">
        <w:rPr>
          <w:rFonts w:eastAsia="Times New Roman" w:ascii="Times New Roman" w:hAnsi="Times New Roman" w:cs="Times New Roman"/>
          <w:i w:val="1"/>
          <w:sz w:val="20"/>
          <w:highlight w:val="none"/>
          <w:rtl w:val="0"/>
        </w:rPr>
        <w:t xml:space="preserve">Don Juan</w:t>
      </w:r>
      <w:r w:rsidDel="00000000" w:rsidR="00000000" w:rsidRPr="00000000">
        <w:rPr>
          <w:rFonts w:eastAsia="Times New Roman" w:ascii="Times New Roman" w:hAnsi="Times New Roman" w:cs="Times New Roman"/>
          <w:sz w:val="20"/>
          <w:highlight w:val="none"/>
          <w:rtl w:val="0"/>
        </w:rPr>
        <w:t xml:space="preserve"> and Ludovico Ariosto's </w:t>
      </w:r>
      <w:r w:rsidDel="00000000" w:rsidR="00000000" w:rsidRPr="00000000">
        <w:rPr>
          <w:rFonts w:eastAsia="Times New Roman" w:ascii="Times New Roman" w:hAnsi="Times New Roman" w:cs="Times New Roman"/>
          <w:i w:val="1"/>
          <w:sz w:val="20"/>
          <w:highlight w:val="none"/>
          <w:rtl w:val="0"/>
        </w:rPr>
        <w:t xml:space="preserve">Orlando Furioso</w:t>
      </w:r>
      <w:r w:rsidDel="00000000" w:rsidR="00000000" w:rsidRPr="00000000">
        <w:rPr>
          <w:rFonts w:eastAsia="Times New Roman" w:ascii="Times New Roman" w:hAnsi="Times New Roman" w:cs="Times New Roman"/>
          <w:sz w:val="20"/>
          <w:highlight w:val="none"/>
          <w:rtl w:val="0"/>
        </w:rPr>
        <w:t xml:space="preserve"> and Petrarch's </w:t>
      </w:r>
      <w:r w:rsidDel="00000000" w:rsidR="00000000" w:rsidRPr="00000000">
        <w:rPr>
          <w:rFonts w:eastAsia="Times New Roman" w:ascii="Times New Roman" w:hAnsi="Times New Roman" w:cs="Times New Roman"/>
          <w:i w:val="1"/>
          <w:sz w:val="20"/>
          <w:highlight w:val="none"/>
          <w:rtl w:val="0"/>
        </w:rPr>
        <w:t xml:space="preserve">Africa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Epic</w:t>
      </w:r>
      <w:r w:rsidDel="00000000" w:rsidR="00000000" w:rsidRPr="00000000">
        <w:rPr>
          <w:rFonts w:eastAsia="Times New Roman" w:ascii="Times New Roman" w:hAnsi="Times New Roman" w:cs="Times New Roman"/>
          <w:sz w:val="20"/>
          <w:highlight w:val="none"/>
          <w:rtl w:val="0"/>
        </w:rPr>
        <w:t xml:space="preserve"> Poetry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Anglo-Saxon epic describes how its title hero defeated Grendel, Grendel's Mother, and a dragon.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Beowulf</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epic by Edmund Spenser sees the Redcrosse Knight sent on a mission by the titular ruler to slay the dragon for Una.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Faerie Queene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Von Willebrand Factor helps to activate this pathway by adhering certain receptors to exposed collagen.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process in which thrombin and fibrin help repair damaged blood vessels.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Blood </w:t>
      </w:r>
      <w:r w:rsidDel="00000000" w:rsidR="00000000" w:rsidRPr="00000000">
        <w:rPr>
          <w:rFonts w:eastAsia="Times New Roman" w:ascii="Times New Roman" w:hAnsi="Times New Roman" w:cs="Times New Roman"/>
          <w:b w:val="1"/>
          <w:sz w:val="20"/>
          <w:highlight w:val="none"/>
          <w:u w:val="single"/>
          <w:rtl w:val="0"/>
        </w:rPr>
        <w:t xml:space="preserve">Clotting</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Coagulation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These small cell fragments help form the clots necessary to stem bleeding.  Once activated, they also release signalling chemicals that begin blood vessel repair.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Platelets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thrombocytes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Vitamin K assists in the clotting process by carboxylating glutamic acid, allowing them to bind to this ion.  In other contexts, this ion is sequestered in the sarcoplasmic reticulum.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Calcium</w:t>
      </w:r>
      <w:r w:rsidDel="00000000" w:rsidR="00000000" w:rsidRPr="00000000">
        <w:rPr>
          <w:rFonts w:eastAsia="Times New Roman" w:ascii="Times New Roman" w:hAnsi="Times New Roman" w:cs="Times New Roman"/>
          <w:sz w:val="20"/>
          <w:highlight w:val="none"/>
          <w:rtl w:val="0"/>
        </w:rPr>
        <w:t xml:space="preserve"> ions [accept </w:t>
      </w:r>
      <w:r w:rsidDel="00000000" w:rsidR="00000000" w:rsidRPr="00000000">
        <w:rPr>
          <w:rFonts w:eastAsia="Times New Roman" w:ascii="Times New Roman" w:hAnsi="Times New Roman" w:cs="Times New Roman"/>
          <w:b w:val="1"/>
          <w:sz w:val="20"/>
          <w:highlight w:val="none"/>
          <w:u w:val="single"/>
          <w:rtl w:val="0"/>
        </w:rPr>
        <w:t xml:space="preserve">Ca</w:t>
      </w:r>
      <w:r w:rsidDel="00000000" w:rsidR="00000000" w:rsidRPr="00000000">
        <w:rPr>
          <w:rFonts w:eastAsia="Times New Roman" w:ascii="Times New Roman" w:hAnsi="Times New Roman" w:cs="Times New Roman"/>
          <w:sz w:val="20"/>
          <w:highlight w:val="none"/>
          <w:rtl w:val="0"/>
        </w:rPr>
        <w:t xml:space="preserve"> plus two ions]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2012 Tiebreakers.docx</dc:title>
</cp:coreProperties>
</file>